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23739" w14:textId="77777777" w:rsidR="00755B17" w:rsidRPr="00755B17" w:rsidRDefault="00755B17" w:rsidP="00755B17">
      <w:pPr>
        <w:shd w:val="clear" w:color="auto" w:fill="FFFFFF"/>
        <w:spacing w:beforeAutospacing="1" w:after="0" w:afterAutospacing="1" w:line="332" w:lineRule="atLeast"/>
        <w:textAlignment w:val="baseline"/>
        <w:outlineLvl w:val="1"/>
        <w:rPr>
          <w:rFonts w:ascii="Lato" w:eastAsia="Times New Roman" w:hAnsi="Lato" w:cs="Times New Roman"/>
          <w:b/>
          <w:bCs/>
          <w:color w:val="434343"/>
          <w:spacing w:val="15"/>
          <w:sz w:val="28"/>
          <w:szCs w:val="28"/>
        </w:rPr>
      </w:pPr>
      <w:r w:rsidRPr="00755B17">
        <w:rPr>
          <w:rFonts w:ascii="inherit" w:eastAsia="Times New Roman" w:hAnsi="inherit" w:cs="Times New Roman"/>
          <w:i/>
          <w:iCs/>
          <w:color w:val="434343"/>
          <w:spacing w:val="15"/>
          <w:sz w:val="28"/>
          <w:szCs w:val="28"/>
          <w:bdr w:val="none" w:sz="0" w:space="0" w:color="auto" w:frame="1"/>
        </w:rPr>
        <w:t>Above-Average Marriage Rate May Signal Financial Stability, Value of Family Support </w:t>
      </w:r>
    </w:p>
    <w:p w14:paraId="01BD7C53" w14:textId="3B8A5131" w:rsidR="00755B17" w:rsidRPr="00755B17" w:rsidRDefault="00755B17" w:rsidP="00D9232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Lato" w:eastAsia="Times New Roman" w:hAnsi="Lato" w:cs="Times New Roman"/>
          <w:b/>
          <w:bCs/>
          <w:spacing w:val="15"/>
          <w:sz w:val="27"/>
          <w:szCs w:val="27"/>
        </w:rPr>
      </w:pPr>
      <w:r w:rsidRPr="00755B17">
        <w:rPr>
          <w:rFonts w:ascii="inherit" w:eastAsia="Times New Roman" w:hAnsi="inherit" w:cs="Times New Roman"/>
          <w:i/>
          <w:iCs/>
          <w:noProof/>
          <w:color w:val="434343"/>
          <w:spacing w:val="15"/>
          <w:sz w:val="27"/>
          <w:szCs w:val="27"/>
          <w:bdr w:val="none" w:sz="0" w:space="0" w:color="auto" w:frame="1"/>
        </w:rPr>
        <w:drawing>
          <wp:inline distT="0" distB="0" distL="0" distR="0" wp14:anchorId="48346802" wp14:editId="7C672178">
            <wp:extent cx="5353050" cy="2762311"/>
            <wp:effectExtent l="0" t="0" r="0" b="0"/>
            <wp:docPr id="2" name="Picture 2" descr="Chart, bar 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ar chart, histo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013" cy="277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B17">
        <w:rPr>
          <w:rFonts w:ascii="inherit" w:eastAsia="Times New Roman" w:hAnsi="inherit" w:cs="Times New Roman"/>
          <w:i/>
          <w:iCs/>
          <w:color w:val="434343"/>
          <w:spacing w:val="15"/>
          <w:sz w:val="27"/>
          <w:szCs w:val="27"/>
          <w:bdr w:val="none" w:sz="0" w:space="0" w:color="auto" w:frame="1"/>
        </w:rPr>
        <w:br/>
      </w:r>
      <w:r w:rsidR="00D92327" w:rsidRPr="00D92327">
        <w:rPr>
          <w:rFonts w:ascii="Lato" w:eastAsia="Times New Roman" w:hAnsi="Lato" w:cs="Times New Roman"/>
          <w:spacing w:val="15"/>
          <w:sz w:val="20"/>
          <w:szCs w:val="20"/>
        </w:rPr>
        <w:t>Decades of Age Grouping from 24 to 65</w:t>
      </w:r>
    </w:p>
    <w:p w14:paraId="5D571DDE" w14:textId="77777777" w:rsidR="00755B17" w:rsidRPr="00755B17" w:rsidRDefault="00755B17" w:rsidP="00755B1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Lato" w:eastAsia="Times New Roman" w:hAnsi="Lato" w:cs="Times New Roman"/>
          <w:color w:val="454545"/>
          <w:sz w:val="24"/>
          <w:szCs w:val="24"/>
        </w:rPr>
      </w:pPr>
      <w:r w:rsidRPr="00755B17">
        <w:rPr>
          <w:rFonts w:ascii="inherit" w:eastAsia="Times New Roman" w:hAnsi="inherit" w:cs="Times New Roman"/>
          <w:color w:val="454545"/>
          <w:sz w:val="24"/>
          <w:szCs w:val="24"/>
          <w:bdr w:val="none" w:sz="0" w:space="0" w:color="auto" w:frame="1"/>
        </w:rPr>
        <w:t>Sept. 24, 2020 – Nearly two-thirds of prospects interested in buying a franchise are married, an above-average rate that may add extra financial flexibility and the value of family stability to the startup process.</w:t>
      </w:r>
    </w:p>
    <w:p w14:paraId="7221C3CF" w14:textId="482150E4" w:rsidR="00755B17" w:rsidRPr="00755B17" w:rsidRDefault="00C840E3" w:rsidP="00755B1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Lato" w:eastAsia="Times New Roman" w:hAnsi="Lato" w:cs="Times New Roman"/>
          <w:color w:val="454545"/>
          <w:sz w:val="24"/>
          <w:szCs w:val="24"/>
        </w:rPr>
      </w:pPr>
      <w:r w:rsidRPr="00755B17">
        <w:rPr>
          <w:rFonts w:ascii="Lato" w:eastAsia="Times New Roman" w:hAnsi="Lato" w:cs="Times New Roman"/>
          <w:noProof/>
          <w:color w:val="454545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86F503" wp14:editId="7AA3277E">
            <wp:simplePos x="0" y="0"/>
            <wp:positionH relativeFrom="column">
              <wp:posOffset>323850</wp:posOffset>
            </wp:positionH>
            <wp:positionV relativeFrom="paragraph">
              <wp:posOffset>1231900</wp:posOffset>
            </wp:positionV>
            <wp:extent cx="4943475" cy="2560467"/>
            <wp:effectExtent l="0" t="0" r="0" b="0"/>
            <wp:wrapTopAndBottom/>
            <wp:docPr id="1" name="Picture 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56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5B17" w:rsidRPr="00755B17">
        <w:rPr>
          <w:rFonts w:ascii="inherit" w:eastAsia="Times New Roman" w:hAnsi="inherit" w:cs="Times New Roman"/>
          <w:color w:val="454545"/>
          <w:sz w:val="24"/>
          <w:szCs w:val="24"/>
          <w:bdr w:val="none" w:sz="0" w:space="0" w:color="auto" w:frame="1"/>
        </w:rPr>
        <w:t>The current marriage rate is 63.2% for entrepreneurs contacting franchises to explore ownership, according to 2020 data from the </w:t>
      </w:r>
      <w:proofErr w:type="spellStart"/>
      <w:r w:rsidR="00AD660C">
        <w:fldChar w:fldCharType="begin"/>
      </w:r>
      <w:r w:rsidR="00AD660C">
        <w:instrText xml:space="preserve"> HYPERLINK "https://www.franchiseventures.com/" </w:instrText>
      </w:r>
      <w:r w:rsidR="00AD660C">
        <w:fldChar w:fldCharType="separate"/>
      </w:r>
      <w:r w:rsidR="00755B17" w:rsidRPr="00755B17">
        <w:rPr>
          <w:rFonts w:ascii="inherit" w:eastAsia="Times New Roman" w:hAnsi="inherit" w:cs="Times New Roman"/>
          <w:color w:val="1ABC9C"/>
          <w:sz w:val="24"/>
          <w:szCs w:val="24"/>
          <w:u w:val="single"/>
          <w:bdr w:val="none" w:sz="0" w:space="0" w:color="auto" w:frame="1"/>
        </w:rPr>
        <w:t>FranchiseVentures</w:t>
      </w:r>
      <w:proofErr w:type="spellEnd"/>
      <w:r w:rsidR="00AD660C">
        <w:rPr>
          <w:rFonts w:ascii="inherit" w:eastAsia="Times New Roman" w:hAnsi="inherit" w:cs="Times New Roman"/>
          <w:color w:val="1ABC9C"/>
          <w:sz w:val="24"/>
          <w:szCs w:val="24"/>
          <w:u w:val="single"/>
          <w:bdr w:val="none" w:sz="0" w:space="0" w:color="auto" w:frame="1"/>
        </w:rPr>
        <w:fldChar w:fldCharType="end"/>
      </w:r>
      <w:r w:rsidR="00755B17" w:rsidRPr="00755B17">
        <w:rPr>
          <w:rFonts w:ascii="inherit" w:eastAsia="Times New Roman" w:hAnsi="inherit" w:cs="Times New Roman"/>
          <w:color w:val="454545"/>
          <w:sz w:val="24"/>
          <w:szCs w:val="24"/>
          <w:bdr w:val="none" w:sz="0" w:space="0" w:color="auto" w:frame="1"/>
        </w:rPr>
        <w:t> network of franchise directories. That’s notably higher than the national rate of 55.7% for adults aged 24 and older. </w:t>
      </w:r>
    </w:p>
    <w:p w14:paraId="1461DE34" w14:textId="510F9C31" w:rsidR="00755B17" w:rsidRPr="00755B17" w:rsidRDefault="00755B17" w:rsidP="00755B1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Lato" w:eastAsia="Times New Roman" w:hAnsi="Lato" w:cs="Times New Roman"/>
          <w:color w:val="454545"/>
          <w:sz w:val="24"/>
          <w:szCs w:val="24"/>
        </w:rPr>
      </w:pPr>
      <w:r w:rsidRPr="00755B17">
        <w:rPr>
          <w:rFonts w:ascii="inherit" w:eastAsia="Times New Roman" w:hAnsi="inherit" w:cs="Times New Roman"/>
          <w:color w:val="454545"/>
          <w:sz w:val="24"/>
          <w:szCs w:val="24"/>
          <w:bdr w:val="none" w:sz="0" w:space="0" w:color="auto" w:frame="1"/>
        </w:rPr>
        <w:t>While correlation doesn’t mean </w:t>
      </w:r>
      <w:r w:rsidRPr="00755B17">
        <w:rPr>
          <w:rFonts w:ascii="inherit" w:eastAsia="Times New Roman" w:hAnsi="inherit" w:cs="Times New Roman"/>
          <w:i/>
          <w:iCs/>
          <w:color w:val="454545"/>
          <w:sz w:val="24"/>
          <w:szCs w:val="24"/>
          <w:bdr w:val="none" w:sz="0" w:space="0" w:color="auto" w:frame="1"/>
        </w:rPr>
        <w:t>causation</w:t>
      </w:r>
      <w:r w:rsidRPr="00755B17">
        <w:rPr>
          <w:rFonts w:ascii="inherit" w:eastAsia="Times New Roman" w:hAnsi="inherit" w:cs="Times New Roman"/>
          <w:color w:val="454545"/>
          <w:sz w:val="24"/>
          <w:szCs w:val="24"/>
          <w:bdr w:val="none" w:sz="0" w:space="0" w:color="auto" w:frame="1"/>
        </w:rPr>
        <w:t xml:space="preserve">, marital status can affect financial assets and stability, particularly in two-income households, and not surprisingly it changes dramatically with age. While prospects under 30 are more likely to be single (64.4%), the </w:t>
      </w:r>
      <w:r w:rsidRPr="00755B17">
        <w:rPr>
          <w:rFonts w:ascii="inherit" w:eastAsia="Times New Roman" w:hAnsi="inherit" w:cs="Times New Roman"/>
          <w:color w:val="454545"/>
          <w:sz w:val="24"/>
          <w:szCs w:val="24"/>
          <w:bdr w:val="none" w:sz="0" w:space="0" w:color="auto" w:frame="1"/>
        </w:rPr>
        <w:lastRenderedPageBreak/>
        <w:t>marriage rate for Millennial prospects is still higher than the national average for the age cohort, at 47% vs. 45%. Baby Boomers have a greater marriage-rate gap, at 71.3% for franchise prospects, vs. 62.4% for the national average.</w:t>
      </w:r>
    </w:p>
    <w:p w14:paraId="09962A11" w14:textId="4C0A746D" w:rsidR="00755B17" w:rsidRPr="00755B17" w:rsidRDefault="00755B17" w:rsidP="00755B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" w:eastAsia="Times New Roman" w:hAnsi="Lato" w:cs="Times New Roman"/>
          <w:color w:val="454545"/>
          <w:sz w:val="24"/>
          <w:szCs w:val="24"/>
        </w:rPr>
      </w:pPr>
    </w:p>
    <w:p w14:paraId="60D871FD" w14:textId="77777777" w:rsidR="00755B17" w:rsidRPr="00755B17" w:rsidRDefault="00755B17" w:rsidP="00755B1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Lato" w:eastAsia="Times New Roman" w:hAnsi="Lato" w:cs="Times New Roman"/>
          <w:color w:val="454545"/>
          <w:sz w:val="24"/>
          <w:szCs w:val="24"/>
        </w:rPr>
      </w:pPr>
      <w:r w:rsidRPr="00755B17">
        <w:rPr>
          <w:rFonts w:ascii="Lato" w:eastAsia="Times New Roman" w:hAnsi="Lato" w:cs="Times New Roman"/>
          <w:color w:val="454545"/>
          <w:sz w:val="24"/>
          <w:szCs w:val="24"/>
        </w:rPr>
        <w:t> </w:t>
      </w:r>
    </w:p>
    <w:p w14:paraId="6A48F668" w14:textId="77777777" w:rsidR="00755B17" w:rsidRDefault="00755B17"/>
    <w:sectPr w:rsidR="00755B17" w:rsidSect="00C840E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17"/>
    <w:rsid w:val="00070FD6"/>
    <w:rsid w:val="00755B17"/>
    <w:rsid w:val="00AD660C"/>
    <w:rsid w:val="00BE2607"/>
    <w:rsid w:val="00C16ACE"/>
    <w:rsid w:val="00C840E3"/>
    <w:rsid w:val="00D9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D1FD1"/>
  <w15:chartTrackingRefBased/>
  <w15:docId w15:val="{F458C94C-476A-4C3B-B19F-4FE389AF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5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55B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5B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55B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5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5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Morache</dc:creator>
  <cp:keywords/>
  <dc:description/>
  <cp:lastModifiedBy>Sarah O'Beirne</cp:lastModifiedBy>
  <cp:revision>2</cp:revision>
  <dcterms:created xsi:type="dcterms:W3CDTF">2021-07-20T19:43:00Z</dcterms:created>
  <dcterms:modified xsi:type="dcterms:W3CDTF">2021-07-20T19:43:00Z</dcterms:modified>
</cp:coreProperties>
</file>